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600" w:after="0"/>
      </w:pPr>
    </w:p>
    <w:p>
      <w:pPr>
        <w:spacing w:before="0" w:after="60"/>
        <w:jc w:val="center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MIND LAW TECNOLOGIA LTDA</w:t>
      </w:r>
    </w:p>
    <w:p>
      <w:pPr>
        <w:spacing w:before="0" w:after="80"/>
        <w:jc w:val="center"/>
      </w:pPr>
      <w:r>
        <w:rPr>
          <w:rFonts w:ascii="Arial" w:cs="Arial" w:eastAsia="Arial" w:hAnsi="Arial"/>
          <w:color w:val="555555"/>
          <w:sz w:val="22"/>
          <w:szCs w:val="22"/>
        </w:rPr>
        <w:t xml:space="preserve">CNPJ nº 65.066.271/0001-95</w:t>
      </w:r>
    </w:p>
    <w:p>
      <w:pPr>
        <w:pBdr>
          <w:bottom w:val="single" w:color="2E86AB" w:sz="6" w:space="4"/>
        </w:pBdr>
        <w:spacing w:before="200" w:after="200"/>
        <w:jc w:val="center"/>
      </w:pPr>
    </w:p>
    <w:p>
      <w:pPr>
        <w:spacing w:before="300" w:after="80"/>
        <w:jc w:val="center"/>
      </w:pPr>
      <w:r>
        <w:rPr>
          <w:rFonts w:ascii="Arial" w:cs="Arial" w:eastAsia="Arial" w:hAnsi="Arial"/>
          <w:b/>
          <w:bCs/>
          <w:color w:val="1A1A2E"/>
          <w:sz w:val="52"/>
          <w:szCs w:val="52"/>
        </w:rPr>
        <w:t xml:space="preserve">TERMOS E CONDIÇÕES GERAIS</w:t>
      </w:r>
    </w:p>
    <w:p>
      <w:pPr>
        <w:spacing w:before="0" w:after="80"/>
        <w:jc w:val="center"/>
      </w:pPr>
      <w:r>
        <w:rPr>
          <w:rFonts w:ascii="Arial" w:cs="Arial" w:eastAsia="Arial" w:hAnsi="Arial"/>
          <w:b/>
          <w:bCs/>
          <w:color w:val="1A1A2E"/>
          <w:sz w:val="52"/>
          <w:szCs w:val="52"/>
        </w:rPr>
        <w:t xml:space="preserve">DE USO DA PLATAFORMA</w:t>
      </w:r>
    </w:p>
    <w:p>
      <w:pPr>
        <w:spacing w:before="60" w:after="60"/>
        <w:jc w:val="center"/>
      </w:pPr>
      <w:r>
        <w:rPr>
          <w:rFonts w:ascii="Arial" w:cs="Arial" w:eastAsia="Arial" w:hAnsi="Arial"/>
          <w:i/>
          <w:iCs/>
          <w:color w:val="444444"/>
          <w:sz w:val="26"/>
          <w:szCs w:val="26"/>
        </w:rPr>
        <w:t xml:space="preserve">MindLaw — Gestão Jurídica Inteligente</w:t>
      </w:r>
    </w:p>
    <w:p>
      <w:pPr>
        <w:pBdr>
          <w:bottom w:val="single" w:color="2E86AB" w:sz="6" w:space="4"/>
        </w:pBdr>
        <w:spacing w:before="200" w:after="200"/>
        <w:jc w:val="center"/>
      </w:pPr>
    </w:p>
    <w:p>
      <w:pPr>
        <w:spacing w:before="300" w:after="60"/>
        <w:jc w:val="center"/>
      </w:pPr>
      <w:r>
        <w:rPr>
          <w:rFonts w:ascii="Arial" w:cs="Arial" w:eastAsia="Arial" w:hAnsi="Arial"/>
          <w:color w:val="555555"/>
          <w:sz w:val="22"/>
          <w:szCs w:val="22"/>
        </w:rPr>
        <w:t xml:space="preserve">Versão: 1.0</w:t>
      </w:r>
    </w:p>
    <w:p>
      <w:pPr>
        <w:spacing w:before="0" w:after="60"/>
        <w:jc w:val="center"/>
      </w:pPr>
      <w:r>
        <w:rPr>
          <w:rFonts w:ascii="Arial" w:cs="Arial" w:eastAsia="Arial" w:hAnsi="Arial"/>
          <w:color w:val="555555"/>
          <w:sz w:val="22"/>
          <w:szCs w:val="22"/>
        </w:rPr>
        <w:t xml:space="preserve">Data da última revisão: 04 de março de 2026</w:t>
      </w:r>
    </w:p>
    <w:p>
      <w:pPr>
        <w:spacing w:before="0" w:after="60"/>
        <w:jc w:val="center"/>
      </w:pPr>
      <w:r>
        <w:rPr>
          <w:rFonts w:ascii="Arial" w:cs="Arial" w:eastAsia="Arial" w:hAnsi="Arial"/>
          <w:color w:val="2E86AB"/>
          <w:sz w:val="22"/>
          <w:szCs w:val="22"/>
        </w:rPr>
        <w:t xml:space="preserve">contato@mindlaw.com.br</w:t>
      </w:r>
    </w:p>
    <w:p>
      <w:pPr>
        <w:spacing w:before="0" w:after="0"/>
      </w:pPr>
      <w:r>
        <w:br w:type="pag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PREÂMBULO E PARTES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A MIND LAW TECNOLOGIA LTDA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, pessoa jurídica de direito privado, inscrita no CNPJ sob o nº 65.066.271/0001-95, com sede na cidade de Camacan, Estado da Bahia (doravante denominada simplesmente </w:t>
      </w: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"MindLaw"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), desenvolve e opera a plataforma de gestão jurídica inteligente denominada MindLaw, disponível em www.mindlaw.com.br e demais aplicações associadas (a </w:t>
      </w: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"Plataforma"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).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O presente instrumento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(os </w:t>
      </w: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"Termos"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) estabelece as regras, obrigações e condições que regem a relação entre a MindLaw e os Usuários que contratam e utilizam a Plataforma, tendo natureza de contrato de adesão nos termos do Art. 54 do Código de Defesa do Consumidor (Lei nº 8.078/1990), quando aplicável.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O Usuário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, neste ato, declara: (i) ser maior de 18 anos e possuir plena capacidade civil; (ii) estar devidamente inscrito na Ordem dos Advogados do Brasil (OAB) e em situação regular; (iii) ter lido, compreendido e aceitado integralmente os termos aqui previstos, bem como a Política de Privacidade da MindLaw.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CD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ATENCAO: Ao acessar ou utilizar a Plataforma, mesmo que a titulo gratuito ou em periodo de teste, o Usuario manifesta sua concordancia livre, expressa e informada com todos os termos deste instrumento. Caso nao concorde, deve cessar imediatamente o uso da Plataforma.</w:t>
            </w:r>
          </w:p>
        </w:tc>
      </w:tr>
    </w:tbl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1. OBJETO E NATUREZA DO SERVIÇO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1.1. Licença de Uso (SaaS)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concede ao Usuário uma licença de uso temporária, não exclusiva, intransferível, não sublicenciável e revogável da Plataforma, no modelo Software as a Service (SaaS), pelo período de vigência do plano contratado.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1.2. Escopo dos Serviços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Plataforma MindLaw compreende, sem limitação, as seguintes funcionalidades: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Gestão de processos judiciais e administrativos;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Monitoramento automático de publicações via integração com APIs dos Tribunais de Justiça;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Uso de Inteligência Artificial para geração de resumos, interpretação de intimações e sugéstões de atuação;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Comunicacão com clientes via MindChat (integração com WhatsApp Business API);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Controle de prazos, agenda e tarefas jurídicas;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Armazenamento seguro de documentos e peças processuais;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Relatórios gerenciais e dashboards de desempenho do escritório.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1.3. Inexistência de Transferência de Propriedade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reconhece expressamente que não está adquirindo a propriedade do software, dos algoritmos, da base de dados ou de qualquer componente da Plataforma, mas tão somente o direito de acesso e uso nas condições e limites estabelecidos nestes Termos e conforme o plano contratado.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1.4. Atualizações e Evolução da Plataforma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reserva-se o direito de, a qualquer momento, atualizar, modificar, expandir ou descontinuar funcionalidades da Plataforma, visando a melhoria contínua do serviço. Alterações que impactem materialmente as funcionalidades contratadas serão comunicadas com antecedência mínima de 15 (quinze) dias.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2. CONDIÇÕES DE ACESSO E SEGURANÇA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2.1. Requisitos de Elegibilidade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acesso à Plataforma é destinado exclusivamente a: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Advogados regularmente inscritos na OAB e em situacão ativa;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Sociedades de advogados (escritórios) devidamente registradas na OAB;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Colaboradores do escritório expressamente autorizados pelo Usuário Contratante.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reserva-se o direito de solicitar comprovação de inscrição na OAB a qualquer tempo e de suspender contas em situação irregular.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2.2. Credenciais de Acesso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é o único e exclusivo responsável pela guarda, sigilo e uso de suas credenciais de acesso (login e senha). São obrigações do Usuário: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Utilizar senhas fortes, únicas e não compartilhadas;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Não ceder, transferir ou compartilhar suas credenciais com terceiros não autorizados;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Notificar a MindLaw imediatamente, pelo canal de suporte oficial, ao suspeitar de acesso não autorizado à sua conta;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Encerrar a sessão ao finalizar o uso em dispositivos compartilhados.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não se responsabiliza por acessos indevidos, alterações, exclusões ou danos decorrentes da negligência do Usuário na guarda de suas credenciais.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2.3. Logs de Auditoria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sistema mantém registros de auditoria que registram data, hora, endereço IP e natureza de todas as operações realizadas na Plataforma. O Usuário concorda expressamente que tais registros constituem prova lícita e suficiente de suas atividades, podendo ser utilizados em procedimentos administrativos, judiciais ou arbitrais.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3. INTELIGÊNCIA ARTIFICIAL E RESPONSABILIDADE PROFISSIONAL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3.1. Natureza Probabilística dos Outputs de IA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declara estar ciente e de acordo com o fato de que as funcionalidades baseadas em Inteligência Artificial da Plataforma — incluindo resumos automáticos, interpretações de intimações, sugestões de atuação e análises de documentos — são geradas por modelos de linguagem probabilísticos, que, por sua própria natureza técnica, podem conter imprecisões, omissões, interpretações equivocadas ou informações desatualizadas.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3.2. Dever de Revisão e Validação Profissional (Human-in-the-Loop)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5E5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ATENCAO CRITICA: A utilizacao da MindLaw NAO substitui, em hipotese alguma, o julgamento tecnico, a experiencia profissional e a responsabilidade etica do advogado Usuario. Todo output gerado pela IA deve ser revisado, validado e aprovado pelo advogado responsavel antes de qualquer uso juridico.</w:t>
            </w:r>
          </w:p>
        </w:tc>
      </w:tr>
    </w:tbl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compromete-se expressamente a: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Revisar e validar individualmente todos os prazos, datas e informações processuais gerados ou capturados pela Plataforma, confrontando-os com os sistemas oficiais dos Tribunais;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Verificar de forma independente, diretamente nos portais eletrônicos dos Tribunais competentes, a existência e o conteúdo de quaisquer publicações, intimacões ou decisões antes de peticionamento ou comunicação ao cliente;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Não utilizar os outputs da IA como única fonte de informação para tomada de decisões jurídicas;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Aplicar seu julgamento profissional na avaliação de todas as estratégias e orientações sugeridas pelo sistema.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3.3. Isenção por Decisão Profissional do Advogado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não será responsabilizada por perdas de prazos processuais, decisões desfavoráveis, erros estratégicos, danos materiais ou morais ao cliente do Usuário, ou quaisquer outras consequências jurídicas decorrentes da confiaça exclusiva e não revisada nos outputs da Inteligência Artificial da Plataforma.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4. INTEGRAÇÕES COM SISTEMAS DE TERCEIROS E GESTÃO DE FALHAS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4.1. Dependência de Sistemas Externos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Plataforma MindLaw depende da disponibilidade, estabilidade e correto funcionamento de sistemas de terceiros para a execução de determinadas funcionalidades essenciais, incluindo: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2600"/>
        <w:gridCol w:w="3826"/>
      </w:tblGrid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SISTEMA EXTERNO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FUNCIONALIDADE</w:t>
            </w:r>
          </w:p>
        </w:tc>
        <w:tc>
          <w:tcPr>
            <w:tcW w:type="dxa" w:w="3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IMPACTO EM CASO DE FALHA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APIs dos Tribunais de Justica (CNJ/TJs)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Captura automatica de publicacoes e intimacoes</w:t>
            </w:r>
          </w:p>
        </w:tc>
        <w:tc>
          <w:tcPr>
            <w:tcW w:type="dxa" w:w="3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Interrupcao do monitoramento automatico de processos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Meta Platforms, Inc. (WhatsApp Business API)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Envio de mensagens via MindChat</w:t>
            </w:r>
          </w:p>
        </w:tc>
        <w:tc>
          <w:tcPr>
            <w:tcW w:type="dxa" w:w="3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Interrupcao das comunicacoes automaticas com clientes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OpenAI / APIs de Processamento de IA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Geracao de resumos e interpretacao de intimacoes</w:t>
            </w:r>
          </w:p>
        </w:tc>
        <w:tc>
          <w:tcPr>
            <w:tcW w:type="dxa" w:w="3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Indisponibilidade das funcionalidades de IA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Amazon Web Services (AWS)</w:t>
            </w:r>
          </w:p>
        </w:tc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Infraestrutura e hospedagem da Plataforma</w:t>
            </w:r>
          </w:p>
        </w:tc>
        <w:tc>
          <w:tcPr>
            <w:tcW w:type="dxa" w:w="3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Indisponibilidade parcial ou total da Plataforma</w:t>
            </w:r>
          </w:p>
        </w:tc>
      </w:tr>
    </w:tbl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4.2. Isenção por Falha de Sistemas de Terceiros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CD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jc w:val="both"/>
            </w:pPr>
            <w:r>
              <w:rPr>
                <w:rFonts w:ascii="Arial" w:cs="Arial" w:eastAsia="Arial" w:hAnsi="Arial"/>
                <w:b/>
                <w:bCs/>
                <w:color w:val="222222"/>
                <w:sz w:val="21"/>
                <w:szCs w:val="21"/>
              </w:rPr>
              <w:t xml:space="preserve">CLAUSULA ESSENCIAL: A MindLaw NAO se responsabiliza por falhas, instabilidades, indisponibilidades, erros ou atrasos causados pelos sistemas de terceiros listados na clausula 4.1, incluindo, mas nao se limitando a: interrupcoes nas APIs dos Tribunais, suspensoes de numeros pela Meta, indisponibilidade de APIs de IA ou falhas de infraestrutura em nuvem.</w:t>
            </w:r>
          </w:p>
        </w:tc>
      </w:tr>
    </w:tbl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Tais ocorrências são consideradas causas de força maior ou caso fortuito externo, nos termos do Art. 393 do Código Civil Brasileiro, eximindo a MindLaw de qualquer responsabilidade por danos diretos, indiretos ou reflexos delas decorrentes.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4.3. Dever de Verificação Independente de Prazos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b/>
          <w:bCs/>
          <w:color w:val="222222"/>
          <w:sz w:val="22"/>
          <w:szCs w:val="22"/>
        </w:rPr>
        <w:t xml:space="preserve">Cláusula Fundamental de Segurança Processual:</w:t>
      </w:r>
      <w:r>
        <w:rPr>
          <w:rFonts w:ascii="Arial" w:cs="Arial" w:eastAsia="Arial" w:hAnsi="Arial"/>
          <w:color w:val="222222"/>
          <w:sz w:val="22"/>
          <w:szCs w:val="22"/>
        </w:rPr>
        <w:t xml:space="preserve"> O Usuário reconhece e concorda que a Plataforma MindLaw é uma ferramenta de auxílio à gestão jurídica e não substitui a consulta direta e independente aos sistemas oficiais dos Tribunais. Em razão da possibilidade de falha nas APIs de terceiros, o Usuário assume o compromisso irrevogável de: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Verificar direta e independentemente, nos portais eletrônicos oficiais dos Tribunais (e-SAJ, PJe, PROJUDI, e-Proc e similares), a existência e o conteúdo de todas as publicações, intimacões, decisões e movimentações processuais que possam implicar em prazo a cumprir;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Não depender exclusivamente do monitoramento automático da Plataforma para controle de prazos em processos de alto valor ou com prazos críticos;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Manter rotina própria de controle e verificação de prazos processuais, independentemente das notificações da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Adotar todas as cautelas exigidas pelo Código de Ética e Disciplina da OAB no exercício de suas atividades profissionais.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perda de prazo processual resultante da ausência desta verificação independente é de responsabilidade exclusiva do Usuário, constituindo infração a deveres profissionais do advogado.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4.4. Protocolo de Notificação de Incidentes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Ao identificar falha ou instabilidade em qualquer integração com sistemas de terceiros que possa comprometer funcionalidades essenciais da Plataforma, a MindLaw adotará o seguinte protocolo: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500"/>
        <w:gridCol w:w="2263"/>
        <w:gridCol w:w="2263"/>
      </w:tblGrid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SEVERIDADE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DESCRICAO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NOTIFICACAO AO USUARIO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TEMPO DE RESPOSTA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5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Critica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5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Falha nas APIs dos Tribunais afetando captura de intimacoes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5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Ate 2 horas via WhatsApp + e-mail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5E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Resolucao ou contorno em ate 4 horas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Alta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Indisponibilidade do MindChat (WhatsApp)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Ate 4 horas via e-mail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Ate 8 horas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Media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Falha parcial em funcionalidades de IA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Ate 12 horas via e-mail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Ate 24 horas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Baixa</w:t>
            </w:r>
          </w:p>
        </w:tc>
        <w:tc>
          <w:tcPr>
            <w:tcW w:type="dxa" w:w="2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Lentidao ou falha nao critica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Aviso no Dashboard da Plataforma</w:t>
            </w:r>
          </w:p>
        </w:tc>
        <w:tc>
          <w:tcPr>
            <w:tcW w:type="dxa" w:w="226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Ate 48 horas</w:t>
            </w:r>
          </w:p>
        </w:tc>
      </w:tr>
    </w:tbl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disponibiliza uma página de status pública atualizada em tempo real com a disponibilidade de todos os componentes e integrações da Plataforma. O Usuário é incentivado a consultá-la regularmente, especialmente em períodos de alto volume processual.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4.5. Integração com WhatsApp — Regras Anti-Spam e Suspensão de Número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MindChat utiliza a infraestrutura da Meta Platforms, Inc. por meio da WhatsApp Business API. O Usuário aceita e reconhece que: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disponibilidade do MindChat está sujeita aos Termos de Serviço da própria Meta Platforms, Inc.;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envio de mensagens não solicitadas ou em volume excessivo caracteriza spam e viola as políticas da Meta;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é o único responsável por garantir o consentimento expresso e documentado de seus clientes para o recebimento de comunicações via WhatsApp;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não se responsabiliza por suspensões, bloqueios ou banimentos de números de telefone realizados pela Meta em decorrência de violações das suas políticas pelo Usuário;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Em caso de bloqueio, a MindLaw diligenciará para oferecer canais alternativos de comunicação, sem garantia de prazo para restabelecimento do canal WhatsApp.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5. PLANOS, PREÇOS E CONDIÇÕES DE PAGAMENTO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5.1. Plano Mensal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disponibiliza plano de assinatura mensal, com acesso às funcionalidades conforme descrito na página de planos em www.mindlaw.com.br. O plano mensal é renovado automaticamente a cada 30 (trinta) dias na data de aniversário da contratação, até que o Usuário solicite o cancelamento.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5.2. Precificação e Reajuste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Os preços vigentes são os publicados na página oficial de planos. A MindLaw reserva-se o direito de reajustar os valores da assinatura, mediante notificação ao Usuário com antecedência mínima de 30 (trinta) dias. Após a notificação, caso o Usuário não manifeste discordiância e cancele sua assinatura antes da vigncia do novo valor, o reajuste será considerado aceito tacitamente.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5.3. Forma de Pagamento e Inadimplência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pagamento da assinatura deverá ser realizado na data de vencimento, pelos meios disponibilizados na Plataforma (cartão de crédito, PIX ou boleto bancário). Em caso de inadimplência: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acesso à Plataforma poderá ser suspenso após 5 (cinco) dias corridos da data de vencimento não pago;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Serão incididos juros moratórios de 1% ao mês e multa de 2% sobre o valor em atraso;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acesso será plenamente restabelecido após a confirmação do pagamento, sem perda dos dados armazenados durante o período de suspensão.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5.4. Sem Reembolso de Período Já Utilizado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Salvo nas hipóteses previstas no Código de Defesa do Consumidor ou por erro comprovado da MindLaw, não há reembolso de valores já cobrados referentes a períodos de assinatura integralmente ou parcialmente utilizados.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6. CANCELAMENTO, RESCISÃO E POLÍTICA DE SAÍDA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6.1. Cancelamento pelo Usuário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poderá cancelar sua assinatura a qualquer momento, sem ônus adicionais, desde que o faça antes da data de renovação do ciclo vigente. O cancelamento poderá ser realizado: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Diretamente no painel de configurações da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Por solicitacão ao suporte via WhatsApp ou e-mail para contato@mindlaw.com.br.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Após o cancelamento, o Usuário manterá acesso à Plataforma até o término do período já pago, sem nova cobrança.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6.2. Rescisão por Violação destes Termos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poderá rescindir o contrato e encerrar o acesso do Usuário imediatamente, sem necessidade de aviso prévio, nos seguintes casos: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Violação de qualquer disposição destes Termos;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Uso da Plataforma para fins ilegais ou contraários à ética profissional da OAB;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Inadimplência superior a 30 (trinta) dias;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Fornecimento de informações falsas no cadastro;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Tentativas de engenharia reversa, violação de segurança ou uso abusivo da Plataforma.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Nos casos de rescisão por violação, não há direito a reembolso dos valores pagos.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6.3. Multa por Rescisão Antecipada — Plano com Fidelidade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contratações com período mínimo de fidelidade expressamente acordado (ex: promóções anuais), aplica-se a seguinte tabela de multa rescisória em caso de cancelamento antes do término do período contratado: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PERIODO DE CANCELAMENTO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MULTA RESCISORIA</w:t>
            </w:r>
          </w:p>
        </w:tc>
      </w:tr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Ate 30 dias apos a contratacao (arrependimento)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ISENTO (direito de arrependimento - CDC, Art. 49)</w:t>
            </w:r>
          </w:p>
        </w:tc>
      </w:tr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Entre 31 e 90 dias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20% do valor restante do periodo contratado</w:t>
            </w:r>
          </w:p>
        </w:tc>
      </w:tr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Entre 91 e 180 dias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15% do valor restante do periodo contratado</w:t>
            </w:r>
          </w:p>
        </w:tc>
      </w:tr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Acima de 180 dias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10% do valor restante do periodo contratado</w:t>
            </w:r>
          </w:p>
        </w:tc>
      </w:tr>
    </w:tbl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o plano mensal sem fidelidade, não há multa rescisória. O cancelamento é livre a qualquer tempo.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6.4. Política de Saída e Portabilidade de Dados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Após o encerramento do contrato, o Usuário terá 30 (trinta) dias corridos para exportar todos os seus dados em formato estruturado (JSON ou CSV), por meio da ferramenta de exportação disponível na Plataforma. Decorrido esse prazo, a MindLaw procederá com a eliminação definitiva dos dados, conforme a Política de Privacidade.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7. ACORDO DE NÍVEL DE SERVIÇO (SLA)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7.1. Disponibilidade Garantida (Uptime)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garante disponibilidade mensal mínima de 99% para os sistemas de sua responsabilidade direta, calculada sobre o total de horas do mês, excluindo-se: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Manutencoes programádas, comunicadas com antecedência mínima de 24 horas;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Falhas em sistemas de terceiros (APIs dos Tribunais, Meta, AWS, OpenAI e similares);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Casos fortuitos ou de força maior, nos termos do Art. 393 do Código Civil.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uptime é medido exclusivamente sobre a infraestrutura própria da MindLaw e não inclui a disponibilidade dos sistemas externos integrados.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7.2. Compensação por Indisponibilidade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Em caso de indisponibilidade da Plataforma, por responsabilidade da MindLaw, superior aos limites do SLA, o Usuário poderá solicitar crédito proporcional na próxima fatura: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INDISPONIBILIDADE MENSAL ACUMULADA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CREDITO NA FATURA</w:t>
            </w:r>
          </w:p>
        </w:tc>
      </w:tr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Entre 1% e 2% (6h a 14h)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10% do valor da mensalidade</w:t>
            </w:r>
          </w:p>
        </w:tc>
      </w:tr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Entre 2% e 5% (14h a 36h)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25% do valor da mensalidade</w:t>
            </w:r>
          </w:p>
        </w:tc>
      </w:tr>
      <w:tr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Acima de 5% (mais de 36h)</w:t>
            </w:r>
          </w:p>
        </w:tc>
        <w:tc>
          <w:tcPr>
            <w:tcW w:type="dxa" w:w="451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40"/>
              <w:bottom w:type="dxa" w:w="100"/>
              <w:right w:type="dxa" w:w="14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222222"/>
                <w:sz w:val="20"/>
                <w:szCs w:val="20"/>
              </w:rPr>
              <w:t xml:space="preserve">50% do valor da mensalidade</w:t>
            </w:r>
          </w:p>
        </w:tc>
      </w:tr>
    </w:tbl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crédito deve ser solicitado em até 15 (quinze) dias após o incîdente e não é aplicável em casos de falha de sistemas externos.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8. PROPRIEDADE INTELECTUAL E CONFIDENCIALIDADE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8.1. Titularidade da MindLaw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Plataforma MindLaw, incluindo, sem limitação, seus códigos-fonte, algoritmos, interfaces, bases de dados, marcas, logos, nomes comerciais, documentação técnica e conteúdos produzidos pela equipe MindLaw, é de titularidade exclusiva da MIND LAW TECNOLOGIA LTDA, protegida pela Lei nº 9.610/1998 (Lei de Direitos Autorais) e pela Lei nº 9.279/1996 (Lei de Propriedade Industrial).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8.2. Vedações Expressas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Ao Usuário é expressamente proibido, sob pena de rescisão imediata do contrato e responsabilização civil e criminal: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Realizar ou tentar realizar engenharia reversa, decompilação ou desconstrução do software;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Copiar, reproduzir, distribuir ou criar obras derivadas da Plataforma ou de seus componentes;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Remover ou alterar quaisquer avisos de direitos autorais, marcas ou identificações de propriedade;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Utilizar scripts automatizados, bots ou qualquer mecanismo de extração não autorizado de dados da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Tentar acessar partes não autorizadas da infraestrutura da MindLaw.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8.3. Compliance com o Código de Ética da OAB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Plataforma deve ser utilizada como ferramenta de eficiência e gestão jurídica, sendo expressamente vedada sua utilização para: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Mercantilização da advocacia ou captacão indevida de clientela, nos termos do Provimento nº 205/2021 do Conselho Federal da OAB;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Publicação de anúncios ou materiais que violem o Código de Ética e Disciplina da OAB;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Qualquer prática vedada pelo Estatuto da Advocacia (Lei nº 8.906/1994).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8.4. Confidencialidade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Ambas as partes se comprometem a manter sigilo sobre as informações confidenciais da outra parte, compreendidas como aquelas claramente identificadas como confidenciais ou que, por sua natureza, devam ser tratadas como tal. A obrigação de confidencialidade subsiste por 5 (cinco) anos após o encerramento do contrato.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9. LIMITAÇÃO DE RESPONSABILIDADE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9.1. Teto Indenizatório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Em qualquer hipótese de responsabilidade civil comprovada da MindLaw, o valor total da indenização será limitado ao montante das mensalidades efetivamente pagas pelo Usuário nos últimos 12 (doze) meses anteriores ao fato gerador do dano.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9.2. Exclusões de Responsabilidade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não responde, em nenhuma hipótese, por: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Lucros cessantes ou perda de receita do Usuário;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Danos indiretos, reflexos ou em cascata;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Perda de chance jurídica decorrente de decisão profissional do advogado;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Perdas de prazos processuais por falha nas APIs de terceiros (Tribunais, Meta, AWS, OpenAI);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Perdas de prazos por ausência de verificação independente pelo Usuário nos sistemas oficiais dos Tribunais;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Danos decorrentes de uso inadequado, negligente ou contrario à ética profissional da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Vazamentos ou danos causados por falhas de segurança atribuíveis exclusivamente a terceiros ou ao próprio Usuário;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Alterações unilaterais das APIs de terceiros que impactem funcionalidades da Plataforma.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9.3. Responsabilidade do Usuário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responde integralmente por: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Todos os dados inseridos na Plataforma, sua veracidade e legalidade;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cumprimento de suas obrigações profissionais como advogado perante seus clientes e a OAB;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Danos causados a terceiros decorrentes do uso inadequado da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Violações ao Código de Ética da OAB praticadas por meio da Plataforma.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10. SUPORTE AO USUÁRIO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10.1. Canal de Suporte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suporte ao Usuário é prestado exclusivamente via WhatsApp, pelo número oficial disponibilizado na Plataforma, nos horários de atendimento publicados em www.mindlaw.com.br.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10.2. Escopo do Suporte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suporte técnico da MindLaw abrange: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Dúvidas sobre o funcionamento e uso das funcionalidades da Plataforma;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Relatos de erros, bugs ou instabilidades nos sistemas de responsabilidade da MindLaw;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Orientações sobre exportação de dados e política de saída.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suporte não abrange: assessoria jurídica, configurações de dispositivos do Usuário, treinamento presencial ou falhas em sistemas externos (Tribunais, Meta, etc.).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11. PROTEÇÃO DE DADOS PESSOAIS (LGPD)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11.1. Remissão à Política de Privacidade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tratamento de dados pessoais realizado no âmbito da Plataforma é regido pela Política de Privacidade e Proteção de Dados Pessoais da MindLaw, disponível em www.mindlaw.com.br/privacidade, incorporada a estes Termos por referência.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11.2. Papéis na LGPD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Para os dados dos clientes e partes processuais inseridos na Plataforma pelo Usuário: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default"/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default"/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11.3. Subprocessadores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autoriza expressamente a MindLaw a contratar subprocessadores essenciais para o funcionamento da Plataforma (AWS, OpenAI, Meta e outros), garantindo que estes estão vinculados a cláusulas contratuais de proteção de dados compatíveis com a LGPD.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12. CONDUTA DO USUÁRIO E USOS PROIBIDOS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Além das proibições já previstas nestes Termos, é expressamente vedado ao Usuário: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Utilizar a Plataforma para fins ilegais, fraudulentos ou que violem direitos de terceiros;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Inserir dados falsos, fraudulentos ou de terceiros sem autorização;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Sobrecarregar deliberadamente a infraestrutura da Plataforma (ataques DDoS, scraping excessivo, etc.);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Tentar acessar contas, dados ou sistemas de outros Usuários;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Compartilhar credenciais de acesso com não autorizados;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Utilizar a Plataforma para armazenamento ou distribuição de conteúdo ilegal, difamatório ou que viole direitos autorais;</w:t>
      </w:r>
    </w:p>
    <w:p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Praticar quaisquer atos que possam prejudicar a reputação, segurança ou integridade da MindLaw ou de outros Usuários.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13. ALTERAÇÕES NESTES TERMOS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MindLaw reserva-se o direito de atualizar estes Termos a qualquer momento. Alterações serão comunicadas ao Usuário com antecedência mínima de 10 (dez) dias, por e-mail ou aviso no Dashboard da Plataforma. A continuidade do uso após a vigência das alterações implica sua aceitação tácita. Em caso de discordância, o Usuário poderá cancelar sua assinatura sem ônus.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14. DISPOSIÇÕES GERAIS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14.1. Integralidade do Contrato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Estes Termos, em conjunto com a Política de Privacidade e eventuais aditivos contratuais firmados entre as partes, constituem o acordo integral entre a MindLaw e o Usuário, substituindo todos os entendimentos anteriores sobre o mesmo objeto.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14.2. Invalidade Parcial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Caso qualquer cláusula destes Termos seja declarada inválida ou inaplicável, as demais cláusulas permanecerão em pleno vigor, devendo a cláusula inválida ser substituída pela disposição legal mais próxima de sua finalidade original.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14.3. Renúncia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A tolerância ou não-exigência do cumprimento de qualquer obrigação não constituirá renúncia, novação ou modificação dos direitos da parte tolerante.</w:t>
      </w:r>
    </w:p>
    <w:p>
      <w:pPr>
        <w:pStyle w:val="Heading2"/>
        <w:spacing w:before="260" w:after="80"/>
      </w:pPr>
      <w:r>
        <w:rPr>
          <w:rFonts w:ascii="Arial" w:cs="Arial" w:eastAsia="Arial" w:hAnsi="Arial"/>
          <w:b/>
          <w:bCs/>
          <w:color w:val="2E86AB"/>
          <w:sz w:val="24"/>
          <w:szCs w:val="24"/>
        </w:rPr>
        <w:t xml:space="preserve">14.4. Cessão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Usuário não poderá ceder ou transferir, no todo ou em parte, seus direitos e obrigações decorrentes destes Termos sem prévia anunciação escrita da MindLaw. A MindLaw poderá ceder seus direitos no contexto de reestrutturação societária, fusão ou aquisição, desde que o Usuário seja notificado.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15. LEI APLICÁVEL E FORO DE ELEIÇÃO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Estes Termos serão regidos e interpretados exclusivamente segundo a legislação brasileira, em especial o Código Civil (Lei nº 10.406/2002), o Código de Defesa do Consumidor (Lei nº 8.078/1990), a LGPD (Lei nº 13.709/2018) e o Estatuto da Advocacia (Lei nº 8.906/1994).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Fica eleito o Foro da Comarca de Camacan/BA, por ser o domicílio da prestadora e o local do cumprimento da obrigação principal, como competente para dirimir quaisquer controversias decorrentes deste instrumento, com renúncia expressa a qualquer outro foro, por mais privilegiado que seja. Nos termos do Art. 101, inciso I, do Código de Defesa do Consumidor, prevalece o foro do domicílio do Usuário caso este seja considerado consumidor vulnerável.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pStyle w:val="Heading1"/>
        <w:pBdr>
          <w:bottom w:val="single" w:color="2E86AB" w:sz="4" w:space="4"/>
        </w:pBdr>
        <w:spacing w:before="400" w:after="120"/>
      </w:pPr>
      <w:r>
        <w:rPr>
          <w:rFonts w:ascii="Arial" w:cs="Arial" w:eastAsia="Arial" w:hAnsi="Arial"/>
          <w:b/>
          <w:bCs/>
          <w:color w:val="1A1A2E"/>
          <w:sz w:val="28"/>
          <w:szCs w:val="28"/>
        </w:rPr>
        <w:t xml:space="preserve">ACEITE E ASSINATURAS</w:t>
      </w:r>
    </w:p>
    <w:p>
      <w:pPr>
        <w:spacing w:before="80" w:after="80" w:line="276"/>
        <w:jc w:val="both"/>
      </w:pPr>
      <w:r>
        <w:rPr>
          <w:rFonts w:ascii="Arial" w:cs="Arial" w:eastAsia="Arial" w:hAnsi="Arial"/>
          <w:color w:val="222222"/>
          <w:sz w:val="22"/>
          <w:szCs w:val="22"/>
        </w:rPr>
        <w:t xml:space="preserve">O presente instrumento é firmado eletronicamente pelo Usuário no momento do cadastro na Plataforma, tendo plena validade jurídica nos termos da Lei nº 14.063/2020 (Assinatura Eletrônica) e da MP nº 2.200-2/2001 (ICP-Brasil).</w:t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313"/>
        <w:gridCol w:w="400"/>
        <w:gridCol w:w="4313"/>
      </w:tblGrid>
      <w:tr>
        <w:tc>
          <w:tcPr>
            <w:tcW w:type="dxa" w:w="43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pBdr>
                <w:top w:val="single" w:color="333333" w:sz="2" w:space="4"/>
              </w:pBdr>
              <w:spacing w:before="800" w:after="80"/>
              <w:jc w:val="center"/>
            </w:pPr>
            <w:r>
              <w:rPr>
                <w:rFonts w:ascii="Arial" w:cs="Arial" w:eastAsia="Arial" w:hAnsi="Arial"/>
                <w:b/>
                <w:bCs/>
                <w:color w:val="222222"/>
                <w:sz w:val="22"/>
                <w:szCs w:val="22"/>
              </w:rPr>
              <w:t xml:space="preserve">MIND LAW TECNOLOGIA LTDA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CNPJ nº 65.066.271/0001-95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Contratada / Licenciante</w:t>
            </w:r>
          </w:p>
        </w:tc>
        <w:tc>
          <w:tcPr>
            <w:tcW w:type="dxa" w:w="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color w:val="222222"/>
                <w:sz w:val="22"/>
                <w:szCs w:val="22"/>
              </w:rPr>
              <w:t xml:space="preserve"/>
            </w:r>
          </w:p>
        </w:tc>
        <w:tc>
          <w:tcPr>
            <w:tcW w:type="dxa" w:w="431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pBdr>
                <w:top w:val="single" w:color="333333" w:sz="2" w:space="4"/>
              </w:pBdr>
              <w:spacing w:before="800" w:after="80"/>
              <w:jc w:val="center"/>
            </w:pPr>
            <w:r>
              <w:rPr>
                <w:rFonts w:ascii="Arial" w:cs="Arial" w:eastAsia="Arial" w:hAnsi="Arial"/>
                <w:b/>
                <w:bCs/>
                <w:color w:val="222222"/>
                <w:sz w:val="22"/>
                <w:szCs w:val="22"/>
              </w:rPr>
              <w:t xml:space="preserve">USUÁRIO CONTRATANTE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Advogado/Escritório — OAB: ______________</w:t>
            </w:r>
          </w:p>
          <w:p>
            <w:pPr>
              <w:jc w:val="center"/>
            </w:pPr>
            <w:r>
              <w:rPr>
                <w:rFonts w:ascii="Arial" w:cs="Arial" w:eastAsia="Arial" w:hAnsi="Arial"/>
                <w:color w:val="555555"/>
                <w:sz w:val="20"/>
                <w:szCs w:val="20"/>
              </w:rPr>
              <w:t xml:space="preserve">Licenciado / Contratante</w:t>
            </w:r>
          </w:p>
        </w:tc>
      </w:tr>
    </w:tbl>
    <w:p>
      <w:pPr>
        <w:spacing w:before="60" w:after="60"/>
      </w:pPr>
      <w:r>
        <w:rPr>
          <w:rFonts w:ascii="Arial" w:cs="Arial" w:eastAsia="Arial" w:hAnsi="Arial"/>
          <w:color w:val="222222"/>
          <w:sz w:val="22"/>
          <w:szCs w:val="22"/>
        </w:rPr>
        <w:t xml:space="preserve"/>
      </w:r>
    </w:p>
    <w:p>
      <w:pPr>
        <w:spacing w:before="300" w:after="60"/>
        <w:jc w:val="center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Camacan, Bahia — 04 de março de 2026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400" w:after="120"/>
      <w:outlineLvl w:val="0"/>
    </w:pPr>
    <w:rPr>
      <w:rFonts w:ascii="Arial" w:cs="Arial" w:eastAsia="Arial" w:hAnsi="Arial"/>
      <w:b/>
      <w:bCs/>
      <w:color w:val="1A1A2E"/>
      <w:sz w:val="28"/>
      <w:szCs w:val="28"/>
    </w:rPr>
  </w:style>
  <w:style w:type="paragraph" w:styleId="Heading2">
    <w:name w:val="Heading 2"/>
    <w:basedOn w:val="Normal"/>
    <w:next w:val="Normal"/>
    <w:qFormat/>
    <w:pPr>
      <w:spacing w:before="260" w:after="80"/>
      <w:outlineLvl w:val="1"/>
    </w:pPr>
    <w:rPr>
      <w:rFonts w:ascii="Arial" w:cs="Arial" w:eastAsia="Arial" w:hAnsi="Arial"/>
      <w:b/>
      <w:bCs/>
      <w:color w:val="2E86AB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2026-03-04T19:43:41.200Z</dcterms:created>
  <dcterms:modified xsi:type="dcterms:W3CDTF">2026-03-04T19:43:41.201Z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